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E570D" w14:textId="77777777" w:rsidR="00A81920" w:rsidRPr="00251102" w:rsidRDefault="00A81920" w:rsidP="00A81920">
      <w:pPr>
        <w:pStyle w:val="NormalWeb"/>
        <w:shd w:val="clear" w:color="auto" w:fill="FFFFFF"/>
        <w:spacing w:before="0" w:beforeAutospacing="0" w:after="0" w:afterAutospacing="0" w:line="300" w:lineRule="atLeast"/>
        <w:rPr>
          <w:rFonts w:ascii="Open Sans" w:hAnsi="Open Sans"/>
          <w:color w:val="555555"/>
          <w:sz w:val="21"/>
          <w:szCs w:val="21"/>
        </w:rPr>
      </w:pPr>
      <w:bookmarkStart w:id="0" w:name="_GoBack"/>
      <w:bookmarkEnd w:id="0"/>
    </w:p>
    <w:p w14:paraId="1FCE4998" w14:textId="5994E499" w:rsidR="00A81920" w:rsidRPr="00235730" w:rsidRDefault="00BB2AF7" w:rsidP="00A81920">
      <w:pPr>
        <w:pStyle w:val="NormalWeb"/>
        <w:shd w:val="clear" w:color="auto" w:fill="FFFFFF"/>
        <w:spacing w:before="0" w:beforeAutospacing="0" w:after="150" w:afterAutospacing="0"/>
        <w:jc w:val="center"/>
        <w:rPr>
          <w:bCs/>
          <w:color w:val="000000" w:themeColor="text1"/>
          <w:sz w:val="28"/>
          <w:szCs w:val="28"/>
          <w:lang w:val="en-US"/>
        </w:rPr>
      </w:pPr>
      <w:r w:rsidRPr="00235730">
        <w:rPr>
          <w:rStyle w:val="lev"/>
          <w:color w:val="000000" w:themeColor="text1"/>
          <w:sz w:val="28"/>
          <w:szCs w:val="28"/>
          <w:lang w:val="en-US"/>
        </w:rPr>
        <w:t>Nanoscale Domain Dynamics Characterization Using Local C-V Mapping</w:t>
      </w:r>
    </w:p>
    <w:p w14:paraId="47EA04B7" w14:textId="62DFE8B4" w:rsidR="00A81920" w:rsidRPr="00235730" w:rsidRDefault="00B53E3D" w:rsidP="00251102">
      <w:pPr>
        <w:pStyle w:val="NormalWeb"/>
        <w:shd w:val="clear" w:color="auto" w:fill="FFFFFF"/>
        <w:spacing w:before="0" w:beforeAutospacing="0" w:after="150" w:afterAutospacing="0"/>
        <w:jc w:val="center"/>
        <w:rPr>
          <w:b/>
          <w:color w:val="000000" w:themeColor="text1"/>
          <w:lang w:val="en-US"/>
        </w:rPr>
      </w:pPr>
      <w:r w:rsidRPr="00235730">
        <w:rPr>
          <w:rStyle w:val="lev"/>
          <w:color w:val="000000" w:themeColor="text1"/>
          <w:lang w:val="en-US"/>
        </w:rPr>
        <w:t>Hiranaga</w:t>
      </w:r>
      <w:r w:rsidR="00A81920" w:rsidRPr="00235730">
        <w:rPr>
          <w:rStyle w:val="lev"/>
          <w:color w:val="000000" w:themeColor="text1"/>
          <w:lang w:val="en-US"/>
        </w:rPr>
        <w:t xml:space="preserve"> </w:t>
      </w:r>
      <w:r w:rsidRPr="00235730">
        <w:rPr>
          <w:rStyle w:val="lev"/>
          <w:color w:val="000000" w:themeColor="text1"/>
          <w:lang w:val="en-US"/>
        </w:rPr>
        <w:t>Y</w:t>
      </w:r>
      <w:r w:rsidR="00A81920" w:rsidRPr="00235730">
        <w:rPr>
          <w:rStyle w:val="lev"/>
          <w:color w:val="000000" w:themeColor="text1"/>
          <w:lang w:val="en-US"/>
        </w:rPr>
        <w:t>.</w:t>
      </w:r>
      <w:r w:rsidR="00A81920" w:rsidRPr="00235730">
        <w:rPr>
          <w:rStyle w:val="lev"/>
          <w:color w:val="000000" w:themeColor="text1"/>
          <w:vertAlign w:val="superscript"/>
          <w:lang w:val="en-US"/>
        </w:rPr>
        <w:t>1</w:t>
      </w:r>
      <w:r w:rsidR="00A81920" w:rsidRPr="00235730">
        <w:rPr>
          <w:rStyle w:val="lev"/>
          <w:color w:val="000000" w:themeColor="text1"/>
          <w:lang w:val="en-US"/>
        </w:rPr>
        <w:t xml:space="preserve">, </w:t>
      </w:r>
      <w:r w:rsidRPr="00235730">
        <w:rPr>
          <w:rStyle w:val="lev"/>
          <w:color w:val="000000" w:themeColor="text1"/>
          <w:lang w:val="en-US"/>
        </w:rPr>
        <w:t>Mimura T.</w:t>
      </w:r>
      <w:r w:rsidRPr="00235730">
        <w:rPr>
          <w:rStyle w:val="lev"/>
          <w:color w:val="000000" w:themeColor="text1"/>
          <w:vertAlign w:val="superscript"/>
          <w:lang w:val="en-US"/>
        </w:rPr>
        <w:t>2</w:t>
      </w:r>
      <w:r w:rsidRPr="00235730">
        <w:rPr>
          <w:rStyle w:val="lev"/>
          <w:color w:val="000000" w:themeColor="text1"/>
          <w:lang w:val="en-US"/>
        </w:rPr>
        <w:t>, Shimizu T.</w:t>
      </w:r>
      <w:r w:rsidRPr="00235730">
        <w:rPr>
          <w:rStyle w:val="lev"/>
          <w:color w:val="000000" w:themeColor="text1"/>
          <w:vertAlign w:val="superscript"/>
          <w:lang w:val="en-US"/>
        </w:rPr>
        <w:t>2</w:t>
      </w:r>
      <w:r w:rsidR="00A81920" w:rsidRPr="00235730">
        <w:rPr>
          <w:rStyle w:val="lev"/>
          <w:color w:val="000000" w:themeColor="text1"/>
          <w:lang w:val="en-US"/>
        </w:rPr>
        <w:t xml:space="preserve">, </w:t>
      </w:r>
      <w:r w:rsidRPr="00235730">
        <w:rPr>
          <w:rStyle w:val="lev"/>
          <w:color w:val="000000" w:themeColor="text1"/>
          <w:lang w:val="en-US"/>
        </w:rPr>
        <w:t>Funakubo</w:t>
      </w:r>
      <w:r w:rsidR="00A81920" w:rsidRPr="00235730">
        <w:rPr>
          <w:rStyle w:val="lev"/>
          <w:color w:val="000000" w:themeColor="text1"/>
          <w:lang w:val="en-US"/>
        </w:rPr>
        <w:t xml:space="preserve"> </w:t>
      </w:r>
      <w:r w:rsidRPr="00235730">
        <w:rPr>
          <w:rStyle w:val="lev"/>
          <w:color w:val="000000" w:themeColor="text1"/>
          <w:lang w:val="en-US"/>
        </w:rPr>
        <w:t>H</w:t>
      </w:r>
      <w:r w:rsidR="00A81920" w:rsidRPr="00235730">
        <w:rPr>
          <w:rStyle w:val="lev"/>
          <w:color w:val="000000" w:themeColor="text1"/>
          <w:lang w:val="en-US"/>
        </w:rPr>
        <w:t>.</w:t>
      </w:r>
      <w:r w:rsidRPr="00235730">
        <w:rPr>
          <w:rStyle w:val="lev"/>
          <w:color w:val="000000" w:themeColor="text1"/>
          <w:vertAlign w:val="superscript"/>
          <w:lang w:val="en-US"/>
        </w:rPr>
        <w:t>2</w:t>
      </w:r>
      <w:r w:rsidR="00A81920" w:rsidRPr="00235730">
        <w:rPr>
          <w:rStyle w:val="lev"/>
          <w:color w:val="000000" w:themeColor="text1"/>
          <w:lang w:val="en-US"/>
        </w:rPr>
        <w:t xml:space="preserve">, </w:t>
      </w:r>
      <w:r w:rsidRPr="00235730">
        <w:rPr>
          <w:rStyle w:val="lev"/>
          <w:color w:val="000000" w:themeColor="text1"/>
          <w:lang w:val="en-US"/>
        </w:rPr>
        <w:t xml:space="preserve">and </w:t>
      </w:r>
      <w:r w:rsidRPr="00235730">
        <w:rPr>
          <w:rStyle w:val="lev"/>
          <w:color w:val="000000" w:themeColor="text1"/>
          <w:u w:val="single"/>
          <w:lang w:val="en-US"/>
        </w:rPr>
        <w:t>Cho</w:t>
      </w:r>
      <w:r w:rsidR="00A81920" w:rsidRPr="00235730">
        <w:rPr>
          <w:rStyle w:val="lev"/>
          <w:color w:val="000000" w:themeColor="text1"/>
          <w:u w:val="single"/>
          <w:lang w:val="en-US"/>
        </w:rPr>
        <w:t xml:space="preserve"> </w:t>
      </w:r>
      <w:r w:rsidRPr="00235730">
        <w:rPr>
          <w:rStyle w:val="lev"/>
          <w:color w:val="000000" w:themeColor="text1"/>
          <w:u w:val="single"/>
          <w:lang w:val="en-US"/>
        </w:rPr>
        <w:t>Y</w:t>
      </w:r>
      <w:r w:rsidR="00A81920" w:rsidRPr="00235730">
        <w:rPr>
          <w:rStyle w:val="lev"/>
          <w:color w:val="000000" w:themeColor="text1"/>
          <w:u w:val="single"/>
          <w:lang w:val="en-US"/>
        </w:rPr>
        <w:t>.</w:t>
      </w:r>
      <w:r w:rsidRPr="00235730">
        <w:rPr>
          <w:rStyle w:val="lev"/>
          <w:color w:val="000000" w:themeColor="text1"/>
          <w:u w:val="single"/>
          <w:vertAlign w:val="superscript"/>
          <w:lang w:val="en-US"/>
        </w:rPr>
        <w:t>1</w:t>
      </w:r>
    </w:p>
    <w:p w14:paraId="77C3B8AB" w14:textId="6C205D82" w:rsidR="00A81920" w:rsidRPr="00235730" w:rsidRDefault="00A81920" w:rsidP="00251102">
      <w:pPr>
        <w:pStyle w:val="NormalWeb"/>
        <w:shd w:val="clear" w:color="auto" w:fill="FFFFFF"/>
        <w:spacing w:before="0" w:beforeAutospacing="0" w:after="150" w:afterAutospacing="0"/>
        <w:jc w:val="center"/>
        <w:rPr>
          <w:color w:val="000000" w:themeColor="text1"/>
          <w:sz w:val="20"/>
          <w:szCs w:val="20"/>
          <w:lang w:val="en-US"/>
        </w:rPr>
      </w:pPr>
      <w:r w:rsidRPr="00235730">
        <w:rPr>
          <w:rStyle w:val="lev"/>
          <w:color w:val="000000" w:themeColor="text1"/>
          <w:sz w:val="20"/>
          <w:szCs w:val="20"/>
          <w:vertAlign w:val="superscript"/>
          <w:lang w:val="en-US"/>
        </w:rPr>
        <w:t>1</w:t>
      </w:r>
      <w:r w:rsidR="00B53E3D" w:rsidRPr="00235730">
        <w:rPr>
          <w:color w:val="000000" w:themeColor="text1"/>
          <w:sz w:val="20"/>
          <w:szCs w:val="20"/>
          <w:lang w:val="en-US"/>
        </w:rPr>
        <w:t xml:space="preserve"> Research </w:t>
      </w:r>
      <w:r w:rsidR="00B56B5A" w:rsidRPr="00235730">
        <w:rPr>
          <w:color w:val="000000" w:themeColor="text1"/>
          <w:sz w:val="20"/>
          <w:szCs w:val="20"/>
          <w:lang w:val="en-US"/>
        </w:rPr>
        <w:t>I</w:t>
      </w:r>
      <w:r w:rsidR="00B53E3D" w:rsidRPr="00235730">
        <w:rPr>
          <w:color w:val="000000" w:themeColor="text1"/>
          <w:sz w:val="20"/>
          <w:szCs w:val="20"/>
          <w:lang w:val="en-US"/>
        </w:rPr>
        <w:t>nstitute of Electrical Communication, Tohoku University, 2-1-1 Katahira, Aoba-ku, Sendai, 980-8577, Japan</w:t>
      </w:r>
    </w:p>
    <w:p w14:paraId="2A90704F" w14:textId="78FFB8FB" w:rsidR="00A81920" w:rsidRPr="00235730" w:rsidRDefault="00A81920" w:rsidP="00251102">
      <w:pPr>
        <w:pStyle w:val="NormalWeb"/>
        <w:shd w:val="clear" w:color="auto" w:fill="FFFFFF"/>
        <w:spacing w:before="0" w:beforeAutospacing="0" w:after="150" w:afterAutospacing="0"/>
        <w:jc w:val="center"/>
        <w:rPr>
          <w:rStyle w:val="lev"/>
          <w:color w:val="000000" w:themeColor="text1"/>
          <w:sz w:val="20"/>
          <w:szCs w:val="20"/>
          <w:lang w:val="en-US"/>
        </w:rPr>
      </w:pPr>
      <w:r w:rsidRPr="00235730">
        <w:rPr>
          <w:rStyle w:val="lev"/>
          <w:color w:val="000000" w:themeColor="text1"/>
          <w:sz w:val="20"/>
          <w:szCs w:val="20"/>
          <w:vertAlign w:val="superscript"/>
          <w:lang w:val="en-US"/>
        </w:rPr>
        <w:t>2</w:t>
      </w:r>
      <w:r w:rsidRPr="00235730">
        <w:rPr>
          <w:color w:val="000000" w:themeColor="text1"/>
          <w:sz w:val="20"/>
          <w:szCs w:val="20"/>
          <w:lang w:val="en-US"/>
        </w:rPr>
        <w:t> </w:t>
      </w:r>
      <w:r w:rsidR="00B53E3D" w:rsidRPr="00235730">
        <w:rPr>
          <w:color w:val="000000" w:themeColor="text1"/>
          <w:sz w:val="20"/>
          <w:szCs w:val="20"/>
          <w:lang w:val="en-US"/>
        </w:rPr>
        <w:t>School of Materials and Chemical Technology, Tokyo Institute of Technology, 4259 Nagatsuta-cho, Midori-ku, Yokohama, 226-8502, Japan</w:t>
      </w:r>
    </w:p>
    <w:p w14:paraId="023147AB" w14:textId="1AC1D3EC" w:rsidR="00A81920" w:rsidRPr="00B53E3D" w:rsidRDefault="00A81920" w:rsidP="00A81920">
      <w:pPr>
        <w:pStyle w:val="NormalWeb"/>
        <w:shd w:val="clear" w:color="auto" w:fill="FFFFFF"/>
        <w:spacing w:before="0" w:beforeAutospacing="0" w:after="150" w:afterAutospacing="0"/>
        <w:jc w:val="center"/>
        <w:rPr>
          <w:rStyle w:val="lev"/>
          <w:b w:val="0"/>
          <w:bCs w:val="0"/>
          <w:color w:val="000000" w:themeColor="text1"/>
          <w:lang w:val="en-US"/>
        </w:rPr>
      </w:pPr>
      <w:r w:rsidRPr="00B53E3D">
        <w:rPr>
          <w:rStyle w:val="lev"/>
          <w:color w:val="000000" w:themeColor="text1"/>
          <w:lang w:val="en-US"/>
        </w:rPr>
        <w:t>Email :</w:t>
      </w:r>
      <w:r w:rsidR="000A2F36">
        <w:rPr>
          <w:rStyle w:val="lev"/>
          <w:color w:val="000000" w:themeColor="text1"/>
          <w:lang w:val="en-US"/>
        </w:rPr>
        <w:t xml:space="preserve"> </w:t>
      </w:r>
      <w:r w:rsidR="000A2F36" w:rsidRPr="000A2F36">
        <w:rPr>
          <w:rStyle w:val="lev"/>
          <w:b w:val="0"/>
          <w:color w:val="000000" w:themeColor="text1"/>
          <w:lang w:val="en-US"/>
        </w:rPr>
        <w:t>yasuocho@riec.tohoku.ac.jp</w:t>
      </w:r>
      <w:r w:rsidRPr="00B53E3D">
        <w:rPr>
          <w:color w:val="000000" w:themeColor="text1"/>
          <w:lang w:val="en-US"/>
        </w:rPr>
        <w:t> </w:t>
      </w:r>
      <w:r w:rsidR="000A2F36">
        <w:rPr>
          <w:color w:val="000000" w:themeColor="text1"/>
          <w:lang w:val="en-US"/>
        </w:rPr>
        <w:t xml:space="preserve">&amp; </w:t>
      </w:r>
      <w:r w:rsidR="00B53E3D" w:rsidRPr="00B53E3D">
        <w:rPr>
          <w:color w:val="000000" w:themeColor="text1"/>
          <w:lang w:val="en-US"/>
        </w:rPr>
        <w:t>hiranaga</w:t>
      </w:r>
      <w:r w:rsidRPr="00B53E3D">
        <w:rPr>
          <w:color w:val="000000" w:themeColor="text1"/>
          <w:lang w:val="en-US"/>
        </w:rPr>
        <w:t>@</w:t>
      </w:r>
      <w:r w:rsidR="00B53E3D" w:rsidRPr="00B53E3D">
        <w:rPr>
          <w:color w:val="000000" w:themeColor="text1"/>
          <w:lang w:val="en-US"/>
        </w:rPr>
        <w:t>riec.tohoku.ac.jp</w:t>
      </w:r>
    </w:p>
    <w:p w14:paraId="37970ABE" w14:textId="4C5AC1A1" w:rsidR="00A81920" w:rsidRPr="00B53E3D" w:rsidRDefault="00B53E3D" w:rsidP="00A81920">
      <w:pPr>
        <w:spacing w:after="150" w:line="240" w:lineRule="auto"/>
        <w:jc w:val="both"/>
        <w:rPr>
          <w:rFonts w:ascii="Times New Roman" w:eastAsia="Times New Roman" w:hAnsi="Times New Roman" w:cs="Times New Roman"/>
          <w:color w:val="000000" w:themeColor="text1"/>
          <w:sz w:val="24"/>
          <w:szCs w:val="24"/>
          <w:lang w:val="en-US" w:eastAsia="fr-FR"/>
        </w:rPr>
      </w:pPr>
      <w:r w:rsidRPr="00B53E3D">
        <w:rPr>
          <w:rFonts w:ascii="Times New Roman" w:eastAsia="Times New Roman" w:hAnsi="Times New Roman" w:cs="Times New Roman"/>
          <w:bCs/>
          <w:color w:val="000000" w:themeColor="text1"/>
          <w:sz w:val="24"/>
          <w:szCs w:val="24"/>
          <w:lang w:val="en-US" w:eastAsia="fr-FR"/>
        </w:rPr>
        <w:t xml:space="preserve">Nanoscale characterization of polarization switching behavior is important in the future development of piezoelectric and ferroelectric devices. </w:t>
      </w:r>
      <w:r w:rsidR="00B47FDB">
        <w:rPr>
          <w:rFonts w:ascii="Times New Roman" w:eastAsia="Times New Roman" w:hAnsi="Times New Roman" w:cs="Times New Roman"/>
          <w:bCs/>
          <w:color w:val="000000" w:themeColor="text1"/>
          <w:sz w:val="24"/>
          <w:szCs w:val="24"/>
          <w:lang w:val="en-US" w:eastAsia="fr-FR"/>
        </w:rPr>
        <w:t>Recently</w:t>
      </w:r>
      <w:r w:rsidRPr="00B53E3D">
        <w:rPr>
          <w:rFonts w:ascii="Times New Roman" w:eastAsia="Times New Roman" w:hAnsi="Times New Roman" w:cs="Times New Roman"/>
          <w:bCs/>
          <w:color w:val="000000" w:themeColor="text1"/>
          <w:sz w:val="24"/>
          <w:szCs w:val="24"/>
          <w:lang w:val="en-US" w:eastAsia="fr-FR"/>
        </w:rPr>
        <w:t>, we have developed a novel probe microscopy technique for local C-V mapping based on scanning nonlinear dielectric microscopy (SNDM). This method enables detailed analysis of dynamic polarization switching behavior beyond the conventional static domain observation.</w:t>
      </w:r>
    </w:p>
    <w:p w14:paraId="3883E787" w14:textId="78F8736F" w:rsidR="00A81920" w:rsidRPr="00B53E3D" w:rsidRDefault="00B53E3D" w:rsidP="00A81920">
      <w:pPr>
        <w:spacing w:after="150" w:line="240" w:lineRule="auto"/>
        <w:jc w:val="both"/>
        <w:rPr>
          <w:rFonts w:ascii="Times New Roman" w:eastAsia="Times New Roman" w:hAnsi="Times New Roman" w:cs="Times New Roman"/>
          <w:color w:val="000000" w:themeColor="text1"/>
          <w:sz w:val="24"/>
          <w:szCs w:val="24"/>
          <w:lang w:val="en-US" w:eastAsia="fr-FR"/>
        </w:rPr>
      </w:pPr>
      <w:r w:rsidRPr="00B53E3D">
        <w:rPr>
          <w:rFonts w:ascii="Times New Roman" w:eastAsia="Times New Roman" w:hAnsi="Times New Roman" w:cs="Times New Roman"/>
          <w:bCs/>
          <w:color w:val="000000" w:themeColor="text1"/>
          <w:sz w:val="24"/>
          <w:szCs w:val="24"/>
          <w:lang w:val="en-US" w:eastAsia="fr-FR"/>
        </w:rPr>
        <w:t>An SNDM system has an LC oscillator probe, which enables local capacitance deviation to be detected with high sensitivity. In a conventional SNDM observation, an AC bias voltage below a domain switching voltage is applied to a sample, and a nonlinear response is detected to visualize the static domain structure. On the other hand, in the novel method, the response is measured with a large-amplitude AC bias above the polarization switching voltage. For ferroelectric films, C-V curves observed in this way draw a butterfly curve, as with macroscopic measurements. By analyzing such local C-V butterfly curves, various parameters related to polarization switching can be obtained.</w:t>
      </w:r>
    </w:p>
    <w:p w14:paraId="7996CF26" w14:textId="487B1E99" w:rsidR="00A81920" w:rsidRPr="00B53E3D" w:rsidRDefault="00B53E3D" w:rsidP="00A81920">
      <w:pPr>
        <w:spacing w:after="150" w:line="240" w:lineRule="auto"/>
        <w:jc w:val="both"/>
        <w:rPr>
          <w:rFonts w:ascii="Times New Roman" w:eastAsia="Times New Roman" w:hAnsi="Times New Roman" w:cs="Times New Roman"/>
          <w:bCs/>
          <w:color w:val="000000" w:themeColor="text1"/>
          <w:sz w:val="24"/>
          <w:szCs w:val="24"/>
          <w:lang w:val="en-US" w:eastAsia="fr-FR"/>
        </w:rPr>
      </w:pPr>
      <w:r w:rsidRPr="00B53E3D">
        <w:rPr>
          <w:rFonts w:ascii="Times New Roman" w:eastAsia="Times New Roman" w:hAnsi="Times New Roman" w:cs="Times New Roman"/>
          <w:bCs/>
          <w:color w:val="000000" w:themeColor="text1"/>
          <w:sz w:val="24"/>
          <w:szCs w:val="24"/>
          <w:lang w:val="en-US" w:eastAsia="fr-FR"/>
        </w:rPr>
        <w:t>In this presentation, we will introduce two application examples. The first example is the characterization of a bulk single-crystal LiTaO</w:t>
      </w:r>
      <w:r w:rsidRPr="00B53E3D">
        <w:rPr>
          <w:rFonts w:ascii="Times New Roman" w:eastAsia="Times New Roman" w:hAnsi="Times New Roman" w:cs="Times New Roman"/>
          <w:bCs/>
          <w:color w:val="000000" w:themeColor="text1"/>
          <w:sz w:val="24"/>
          <w:szCs w:val="24"/>
          <w:vertAlign w:val="subscript"/>
          <w:lang w:val="en-US" w:eastAsia="fr-FR"/>
        </w:rPr>
        <w:t>3</w:t>
      </w:r>
      <w:r w:rsidRPr="00B53E3D">
        <w:rPr>
          <w:rFonts w:ascii="Times New Roman" w:eastAsia="Times New Roman" w:hAnsi="Times New Roman" w:cs="Times New Roman"/>
          <w:bCs/>
          <w:color w:val="000000" w:themeColor="text1"/>
          <w:sz w:val="24"/>
          <w:szCs w:val="24"/>
          <w:lang w:val="en-US" w:eastAsia="fr-FR"/>
        </w:rPr>
        <w:t>. In this example, we revealed that anomalous C-V curves were observed in the vicinity of domain boundaries. Such C–V curves are considered to reflect domain wall movement due to the electric field. The second example is the characterization of a HfO</w:t>
      </w:r>
      <w:r w:rsidRPr="00B53E3D">
        <w:rPr>
          <w:rFonts w:ascii="Times New Roman" w:eastAsia="Times New Roman" w:hAnsi="Times New Roman" w:cs="Times New Roman"/>
          <w:bCs/>
          <w:color w:val="000000" w:themeColor="text1"/>
          <w:sz w:val="24"/>
          <w:szCs w:val="24"/>
          <w:vertAlign w:val="subscript"/>
          <w:lang w:val="en-US" w:eastAsia="fr-FR"/>
        </w:rPr>
        <w:t>2</w:t>
      </w:r>
      <w:r w:rsidRPr="00B53E3D">
        <w:rPr>
          <w:rFonts w:ascii="Times New Roman" w:eastAsia="Times New Roman" w:hAnsi="Times New Roman" w:cs="Times New Roman"/>
          <w:bCs/>
          <w:color w:val="000000" w:themeColor="text1"/>
          <w:sz w:val="24"/>
          <w:szCs w:val="24"/>
          <w:lang w:val="en-US" w:eastAsia="fr-FR"/>
        </w:rPr>
        <w:t xml:space="preserve">-based ferroelectric thin film. Since the prepared film had random grain orientations, the shape of the observed C-V curves varied depending on the position. </w:t>
      </w:r>
      <w:r w:rsidR="00897C92">
        <w:rPr>
          <w:rFonts w:ascii="Times New Roman" w:eastAsia="Times New Roman" w:hAnsi="Times New Roman" w:cs="Times New Roman"/>
          <w:bCs/>
          <w:color w:val="000000" w:themeColor="text1"/>
          <w:sz w:val="24"/>
          <w:szCs w:val="24"/>
          <w:lang w:val="en-US" w:eastAsia="fr-FR"/>
        </w:rPr>
        <w:t>Parameter e</w:t>
      </w:r>
      <w:r w:rsidRPr="00B53E3D">
        <w:rPr>
          <w:rFonts w:ascii="Times New Roman" w:eastAsia="Times New Roman" w:hAnsi="Times New Roman" w:cs="Times New Roman"/>
          <w:bCs/>
          <w:color w:val="000000" w:themeColor="text1"/>
          <w:sz w:val="24"/>
          <w:szCs w:val="24"/>
          <w:lang w:val="en-US" w:eastAsia="fr-FR"/>
        </w:rPr>
        <w:t>xtraction from the obtained dataset enabled to visualize the in-plane distributions concerning the net switchable polarization amount, the intrinsic coercive field, and the local imprint.</w:t>
      </w:r>
    </w:p>
    <w:p w14:paraId="2995E442" w14:textId="77777777" w:rsidR="00A81920" w:rsidRPr="00B53E3D" w:rsidRDefault="00A81920" w:rsidP="00A81920">
      <w:pPr>
        <w:pStyle w:val="NormalWeb"/>
        <w:shd w:val="clear" w:color="auto" w:fill="FFFFFF"/>
        <w:spacing w:before="0" w:beforeAutospacing="0" w:after="0" w:afterAutospacing="0" w:line="300" w:lineRule="atLeast"/>
        <w:rPr>
          <w:rFonts w:ascii="Open Sans" w:hAnsi="Open Sans"/>
          <w:color w:val="000000" w:themeColor="text1"/>
          <w:sz w:val="21"/>
          <w:szCs w:val="21"/>
          <w:lang w:val="en-US"/>
        </w:rPr>
      </w:pPr>
    </w:p>
    <w:p w14:paraId="766290C3" w14:textId="0E40DA32" w:rsidR="00A81920" w:rsidRPr="00B53E3D" w:rsidRDefault="00A81920" w:rsidP="00A81920">
      <w:pPr>
        <w:pStyle w:val="NormalWeb"/>
        <w:shd w:val="clear" w:color="auto" w:fill="FFFFFF"/>
        <w:spacing w:before="0" w:beforeAutospacing="0" w:after="0" w:afterAutospacing="0" w:line="300" w:lineRule="atLeast"/>
        <w:rPr>
          <w:rFonts w:ascii="Open Sans" w:hAnsi="Open Sans"/>
          <w:color w:val="000000" w:themeColor="text1"/>
          <w:sz w:val="21"/>
          <w:szCs w:val="21"/>
          <w:lang w:val="en-US"/>
        </w:rPr>
      </w:pPr>
      <w:r w:rsidRPr="00B53E3D">
        <w:rPr>
          <w:rStyle w:val="lev"/>
          <w:rFonts w:ascii="Open Sans" w:hAnsi="Open Sans"/>
          <w:color w:val="000000" w:themeColor="text1"/>
          <w:sz w:val="21"/>
          <w:szCs w:val="21"/>
          <w:lang w:val="en-US"/>
        </w:rPr>
        <w:t>Keywords :</w:t>
      </w:r>
      <w:r w:rsidRPr="00B53E3D">
        <w:rPr>
          <w:rFonts w:ascii="Open Sans" w:hAnsi="Open Sans"/>
          <w:color w:val="000000" w:themeColor="text1"/>
          <w:sz w:val="21"/>
          <w:szCs w:val="21"/>
          <w:lang w:val="en-US"/>
        </w:rPr>
        <w:t> </w:t>
      </w:r>
      <w:r w:rsidR="00C5342C">
        <w:rPr>
          <w:rFonts w:ascii="Open Sans" w:hAnsi="Open Sans"/>
          <w:color w:val="000000" w:themeColor="text1"/>
          <w:sz w:val="21"/>
          <w:szCs w:val="21"/>
          <w:lang w:val="en-US"/>
        </w:rPr>
        <w:t>F</w:t>
      </w:r>
      <w:r w:rsidR="00C5342C" w:rsidRPr="00C5342C">
        <w:rPr>
          <w:rFonts w:ascii="Open Sans" w:hAnsi="Open Sans"/>
          <w:color w:val="000000" w:themeColor="text1"/>
          <w:sz w:val="21"/>
          <w:szCs w:val="21"/>
          <w:lang w:val="en-US"/>
        </w:rPr>
        <w:t>erroelectric thin film</w:t>
      </w:r>
      <w:r w:rsidR="00C5342C">
        <w:rPr>
          <w:rFonts w:ascii="Open Sans" w:hAnsi="Open Sans"/>
          <w:color w:val="000000" w:themeColor="text1"/>
          <w:sz w:val="21"/>
          <w:szCs w:val="21"/>
          <w:lang w:val="en-US"/>
        </w:rPr>
        <w:t>, S</w:t>
      </w:r>
      <w:r w:rsidR="00C5342C" w:rsidRPr="00C5342C">
        <w:rPr>
          <w:rFonts w:ascii="Open Sans" w:hAnsi="Open Sans"/>
          <w:color w:val="000000" w:themeColor="text1"/>
          <w:sz w:val="21"/>
          <w:szCs w:val="21"/>
          <w:lang w:val="en-US"/>
        </w:rPr>
        <w:t>canning probe microscopy</w:t>
      </w:r>
      <w:r w:rsidR="00C5342C">
        <w:rPr>
          <w:rFonts w:ascii="Open Sans" w:hAnsi="Open Sans"/>
          <w:color w:val="000000" w:themeColor="text1"/>
          <w:sz w:val="21"/>
          <w:szCs w:val="21"/>
          <w:lang w:val="en-US"/>
        </w:rPr>
        <w:t>, Do</w:t>
      </w:r>
      <w:r w:rsidR="00C5342C" w:rsidRPr="00C5342C">
        <w:rPr>
          <w:rFonts w:ascii="Open Sans" w:hAnsi="Open Sans"/>
          <w:color w:val="000000" w:themeColor="text1"/>
          <w:sz w:val="21"/>
          <w:szCs w:val="21"/>
          <w:lang w:val="en-US"/>
        </w:rPr>
        <w:t>main dynamics</w:t>
      </w:r>
      <w:r w:rsidR="00C5342C">
        <w:rPr>
          <w:rFonts w:ascii="Open Sans" w:hAnsi="Open Sans"/>
          <w:color w:val="000000" w:themeColor="text1"/>
          <w:sz w:val="21"/>
          <w:szCs w:val="21"/>
          <w:lang w:val="en-US"/>
        </w:rPr>
        <w:t xml:space="preserve">, </w:t>
      </w:r>
      <w:r w:rsidR="00BB2AF7">
        <w:rPr>
          <w:rFonts w:ascii="Open Sans" w:hAnsi="Open Sans"/>
          <w:color w:val="000000" w:themeColor="text1"/>
          <w:sz w:val="21"/>
          <w:szCs w:val="21"/>
          <w:lang w:val="en-US"/>
        </w:rPr>
        <w:t>L</w:t>
      </w:r>
      <w:r w:rsidR="00C5342C">
        <w:rPr>
          <w:rFonts w:ascii="Open Sans" w:hAnsi="Open Sans"/>
          <w:color w:val="000000" w:themeColor="text1"/>
          <w:sz w:val="21"/>
          <w:szCs w:val="21"/>
          <w:lang w:val="en-US"/>
        </w:rPr>
        <w:t>ithium tantalate, Hafnium oxide</w:t>
      </w:r>
    </w:p>
    <w:p w14:paraId="751BF9D7" w14:textId="77777777" w:rsidR="001D2B5D" w:rsidRPr="00B53E3D" w:rsidRDefault="001D2B5D">
      <w:pPr>
        <w:rPr>
          <w:color w:val="000000" w:themeColor="text1"/>
          <w:lang w:val="en-US"/>
        </w:rPr>
      </w:pPr>
    </w:p>
    <w:sectPr w:rsidR="001D2B5D" w:rsidRPr="00B53E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87A3E" w14:textId="77777777" w:rsidR="00126E53" w:rsidRDefault="00126E53" w:rsidP="00B53E3D">
      <w:pPr>
        <w:spacing w:after="0" w:line="240" w:lineRule="auto"/>
      </w:pPr>
      <w:r>
        <w:separator/>
      </w:r>
    </w:p>
  </w:endnote>
  <w:endnote w:type="continuationSeparator" w:id="0">
    <w:p w14:paraId="5BFE3299" w14:textId="77777777" w:rsidR="00126E53" w:rsidRDefault="00126E53" w:rsidP="00B53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70DF9" w14:textId="77777777" w:rsidR="00126E53" w:rsidRDefault="00126E53" w:rsidP="00B53E3D">
      <w:pPr>
        <w:spacing w:after="0" w:line="240" w:lineRule="auto"/>
      </w:pPr>
      <w:r>
        <w:separator/>
      </w:r>
    </w:p>
  </w:footnote>
  <w:footnote w:type="continuationSeparator" w:id="0">
    <w:p w14:paraId="1212B7AA" w14:textId="77777777" w:rsidR="00126E53" w:rsidRDefault="00126E53" w:rsidP="00B53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920"/>
    <w:rsid w:val="00023C58"/>
    <w:rsid w:val="000A2F36"/>
    <w:rsid w:val="000A4530"/>
    <w:rsid w:val="000F3396"/>
    <w:rsid w:val="00126E53"/>
    <w:rsid w:val="00133694"/>
    <w:rsid w:val="001D2B5D"/>
    <w:rsid w:val="00212A25"/>
    <w:rsid w:val="00235730"/>
    <w:rsid w:val="0024575D"/>
    <w:rsid w:val="00250C1D"/>
    <w:rsid w:val="00251102"/>
    <w:rsid w:val="00287D29"/>
    <w:rsid w:val="002A31D5"/>
    <w:rsid w:val="0030681B"/>
    <w:rsid w:val="003833B2"/>
    <w:rsid w:val="00383BAA"/>
    <w:rsid w:val="00383FFC"/>
    <w:rsid w:val="003927B3"/>
    <w:rsid w:val="003B1795"/>
    <w:rsid w:val="003C4DEB"/>
    <w:rsid w:val="004108BA"/>
    <w:rsid w:val="004A0C7F"/>
    <w:rsid w:val="004A79C6"/>
    <w:rsid w:val="004B70FF"/>
    <w:rsid w:val="004D70E1"/>
    <w:rsid w:val="004E1A8E"/>
    <w:rsid w:val="00565C11"/>
    <w:rsid w:val="00593A0E"/>
    <w:rsid w:val="005D44FE"/>
    <w:rsid w:val="005F3F4B"/>
    <w:rsid w:val="006173F3"/>
    <w:rsid w:val="00641547"/>
    <w:rsid w:val="006433A3"/>
    <w:rsid w:val="00667928"/>
    <w:rsid w:val="006C0799"/>
    <w:rsid w:val="006C75D8"/>
    <w:rsid w:val="006F0BFE"/>
    <w:rsid w:val="007141DF"/>
    <w:rsid w:val="00751FB5"/>
    <w:rsid w:val="007920DC"/>
    <w:rsid w:val="007B1C81"/>
    <w:rsid w:val="00830459"/>
    <w:rsid w:val="00850DDB"/>
    <w:rsid w:val="00897C92"/>
    <w:rsid w:val="008D6DB7"/>
    <w:rsid w:val="008F3046"/>
    <w:rsid w:val="009A386A"/>
    <w:rsid w:val="009D6B51"/>
    <w:rsid w:val="00A81920"/>
    <w:rsid w:val="00AE0455"/>
    <w:rsid w:val="00AF0594"/>
    <w:rsid w:val="00B306C6"/>
    <w:rsid w:val="00B47FDB"/>
    <w:rsid w:val="00B5178F"/>
    <w:rsid w:val="00B53E3D"/>
    <w:rsid w:val="00B56B5A"/>
    <w:rsid w:val="00B74105"/>
    <w:rsid w:val="00BA5771"/>
    <w:rsid w:val="00BB2AF7"/>
    <w:rsid w:val="00C47219"/>
    <w:rsid w:val="00C5342C"/>
    <w:rsid w:val="00C678CB"/>
    <w:rsid w:val="00C67F2E"/>
    <w:rsid w:val="00C7535A"/>
    <w:rsid w:val="00C85F7D"/>
    <w:rsid w:val="00D039DD"/>
    <w:rsid w:val="00DA054A"/>
    <w:rsid w:val="00DE3E04"/>
    <w:rsid w:val="00E139E7"/>
    <w:rsid w:val="00E240C5"/>
    <w:rsid w:val="00E32124"/>
    <w:rsid w:val="00E804F0"/>
    <w:rsid w:val="00EF6CF8"/>
    <w:rsid w:val="00F33A81"/>
    <w:rsid w:val="00F364A6"/>
    <w:rsid w:val="00F45688"/>
    <w:rsid w:val="00F62565"/>
    <w:rsid w:val="00F80DC7"/>
    <w:rsid w:val="00FA1F3F"/>
    <w:rsid w:val="00FE10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EF8F74"/>
  <w15:chartTrackingRefBased/>
  <w15:docId w15:val="{9D9F741B-C411-4AA2-AF56-772D427A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9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19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81920"/>
    <w:rPr>
      <w:b/>
      <w:bCs/>
    </w:rPr>
  </w:style>
  <w:style w:type="character" w:styleId="Lienhypertextesuivivisit">
    <w:name w:val="FollowedHyperlink"/>
    <w:basedOn w:val="Policepardfaut"/>
    <w:uiPriority w:val="99"/>
    <w:semiHidden/>
    <w:unhideWhenUsed/>
    <w:rsid w:val="00A81920"/>
    <w:rPr>
      <w:color w:val="954F72" w:themeColor="followedHyperlink"/>
      <w:u w:val="single"/>
    </w:rPr>
  </w:style>
  <w:style w:type="paragraph" w:styleId="En-tte">
    <w:name w:val="header"/>
    <w:basedOn w:val="Normal"/>
    <w:link w:val="En-tteCar"/>
    <w:uiPriority w:val="99"/>
    <w:unhideWhenUsed/>
    <w:rsid w:val="00B53E3D"/>
    <w:pPr>
      <w:tabs>
        <w:tab w:val="center" w:pos="4252"/>
        <w:tab w:val="right" w:pos="8504"/>
      </w:tabs>
      <w:snapToGrid w:val="0"/>
    </w:pPr>
  </w:style>
  <w:style w:type="character" w:customStyle="1" w:styleId="En-tteCar">
    <w:name w:val="En-tête Car"/>
    <w:basedOn w:val="Policepardfaut"/>
    <w:link w:val="En-tte"/>
    <w:uiPriority w:val="99"/>
    <w:rsid w:val="00B53E3D"/>
  </w:style>
  <w:style w:type="paragraph" w:styleId="Pieddepage">
    <w:name w:val="footer"/>
    <w:basedOn w:val="Normal"/>
    <w:link w:val="PieddepageCar"/>
    <w:uiPriority w:val="99"/>
    <w:unhideWhenUsed/>
    <w:rsid w:val="00B53E3D"/>
    <w:pPr>
      <w:tabs>
        <w:tab w:val="center" w:pos="4252"/>
        <w:tab w:val="right" w:pos="8504"/>
      </w:tabs>
      <w:snapToGrid w:val="0"/>
    </w:pPr>
  </w:style>
  <w:style w:type="character" w:customStyle="1" w:styleId="PieddepageCar">
    <w:name w:val="Pied de page Car"/>
    <w:basedOn w:val="Policepardfaut"/>
    <w:link w:val="Pieddepage"/>
    <w:uiPriority w:val="99"/>
    <w:rsid w:val="00B5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2044</Characters>
  <Application>Microsoft Office Word</Application>
  <DocSecurity>0</DocSecurity>
  <Lines>17</Lines>
  <Paragraphs>4</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Sweet</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2</cp:revision>
  <cp:lastPrinted>2021-09-01T05:26:00Z</cp:lastPrinted>
  <dcterms:created xsi:type="dcterms:W3CDTF">2021-09-29T19:42:00Z</dcterms:created>
  <dcterms:modified xsi:type="dcterms:W3CDTF">2021-09-29T19:42:00Z</dcterms:modified>
</cp:coreProperties>
</file>